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6B" w:rsidRPr="00457E6B" w:rsidRDefault="00E93437" w:rsidP="00E9343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                          </w:t>
      </w:r>
      <w:r w:rsidR="00457E6B" w:rsidRPr="00457E6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ВИСНОВОК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НВК ДНЗ-ЗОШ </w:t>
      </w:r>
      <w:r w:rsidRPr="00457E6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ru-RU" w:eastAsia="ru-RU"/>
        </w:rPr>
        <w:t>1</w:t>
      </w:r>
      <w:r w:rsidRPr="00457E6B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ст.</w:t>
      </w:r>
    </w:p>
    <w:p w:rsidR="00457E6B" w:rsidRPr="00457E6B" w:rsidRDefault="00457E6B" w:rsidP="00457E6B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Будівля і прилегла територія об’єкта є (підкреслити):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ДОСТУПНИМИ, </w:t>
      </w:r>
      <w:r w:rsidRPr="00457E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ЧАСТКОВО ДОСТУПНИМИ</w:t>
      </w:r>
      <w:r w:rsidRPr="0045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НЕДОСТУПНИМИ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ВИМОГИ / ПРОПОЗИЦІЇ: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Прилегла територія (прилеглий квартал довкола об’єкта): частково доступна. Асфальтове покриття є тільки зі сторони головного входу зі тріщинами та вибоїнами.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________________________________________________________________________________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 паркування транспорту: відсутня. Потрібно облаштовувати зону паркування.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________________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lang w:eastAsia="ru-RU"/>
        </w:rPr>
        <w:t>____________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 до будівлі школи: пандус знаходиться зі сторони запасного входу, але потребує переобладнання так як не відповідає вимогам. Потрібно додаткове фінансування. 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_______________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lang w:eastAsia="ru-RU"/>
        </w:rPr>
        <w:t>_______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 xml:space="preserve"> 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Доступність до приміщень всередині будівлі школи: наявна тільки на І поверсі.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________________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lang w:eastAsia="ru-RU"/>
        </w:rPr>
        <w:t>_______ 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Туалети і душові кабінки: душові кабіни відсутні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lang w:eastAsia="ru-RU"/>
        </w:rPr>
        <w:t>_________________________________________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Візуальна інформація (піктограми): наявні, потребують оновлення.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_________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u w:val="single"/>
          <w:lang w:eastAsia="ru-RU"/>
        </w:rPr>
        <w:t>_______________</w:t>
      </w:r>
      <w:r w:rsidRPr="00457E6B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FFFFFF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B8650C" w:rsidRPr="00457E6B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" w:eastAsia="Times New Roman" w:hAnsi="MinionPro-Bold" w:cs="MinionPro-Bold"/>
          <w:b/>
          <w:bCs/>
          <w:color w:val="000000"/>
          <w:sz w:val="32"/>
          <w:szCs w:val="32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Cs/>
          <w:iCs/>
          <w:color w:val="000000"/>
          <w:sz w:val="28"/>
          <w:szCs w:val="28"/>
          <w:lang w:eastAsia="ru-RU"/>
        </w:rPr>
      </w:pPr>
      <w:r w:rsidRPr="00457E6B">
        <w:rPr>
          <w:rFonts w:ascii="MinionPro-BoldIt" w:eastAsia="Times New Roman" w:hAnsi="MinionPro-BoldIt" w:cs="MinionPro-BoldIt"/>
          <w:bCs/>
          <w:iCs/>
          <w:color w:val="000000"/>
          <w:sz w:val="28"/>
          <w:szCs w:val="28"/>
          <w:lang w:eastAsia="ru-RU"/>
        </w:rPr>
        <w:lastRenderedPageBreak/>
        <w:t>ТАБЛИЦЯ ОБСТЕЖЕНЬ ЕЛЕМЕНТІВ ДОСТУПНОСТІ ШКІЛ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Cs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Cs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Cs/>
          <w:iCs/>
          <w:color w:val="000000"/>
          <w:sz w:val="28"/>
          <w:szCs w:val="28"/>
          <w:lang w:eastAsia="ru-RU"/>
        </w:rPr>
      </w:pPr>
      <w:r w:rsidRPr="00457E6B">
        <w:rPr>
          <w:rFonts w:ascii="MinionPro-BoldIt" w:eastAsia="Times New Roman" w:hAnsi="MinionPro-BoldIt" w:cs="MinionPro-BoldIt"/>
          <w:bCs/>
          <w:iCs/>
          <w:color w:val="000000"/>
          <w:sz w:val="28"/>
          <w:szCs w:val="28"/>
          <w:lang w:eastAsia="ru-RU"/>
        </w:rPr>
        <w:t>БЕЗПРОБЛЕМНЕ ПЕРЕСУВАННЯ ПРИЛЕГЛОЮ ТЕРИТОРІЄЮ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ind w:left="720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1276"/>
        <w:gridCol w:w="2658"/>
      </w:tblGrid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13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265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1.1 Мінімальна ширина тротуарів на </w:t>
            </w:r>
            <w:proofErr w:type="spellStart"/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проилеглій</w:t>
            </w:r>
            <w:proofErr w:type="spellEnd"/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 до шкільної будівлі території (1500 мм)</w:t>
            </w:r>
          </w:p>
        </w:tc>
        <w:tc>
          <w:tcPr>
            <w:tcW w:w="113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1.2 Поверхня тротуару рівна та неслизька</w:t>
            </w:r>
          </w:p>
        </w:tc>
        <w:tc>
          <w:tcPr>
            <w:tcW w:w="113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5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1.3 Відсутність сходів/бордюрів на тротуарах</w:t>
            </w:r>
          </w:p>
        </w:tc>
        <w:tc>
          <w:tcPr>
            <w:tcW w:w="113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1.4 У тротуарі немає вибоїн, щілин, швів розміром більш ніж 13 мм</w:t>
            </w:r>
          </w:p>
        </w:tc>
        <w:tc>
          <w:tcPr>
            <w:tcW w:w="113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5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1.5 Максимальна висота бордюрів (150 мм)</w:t>
            </w:r>
          </w:p>
        </w:tc>
        <w:tc>
          <w:tcPr>
            <w:tcW w:w="113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1.6 Наявність пандуса для виїзду з автостоянки на пішохідну доріжку</w:t>
            </w:r>
          </w:p>
        </w:tc>
        <w:tc>
          <w:tcPr>
            <w:tcW w:w="113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65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Зауваження та доповнення: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B8650C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B8650C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B8650C" w:rsidRPr="00457E6B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  <w:r w:rsidRPr="00457E6B"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  <w:lastRenderedPageBreak/>
        <w:t>ЗОНА ПАРКУВАННЯ АВТОМОБІЛІВ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ind w:left="720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559"/>
        <w:gridCol w:w="1612"/>
        <w:gridCol w:w="2464"/>
      </w:tblGrid>
      <w:tr w:rsidR="00457E6B" w:rsidRPr="00457E6B" w:rsidTr="00457E6B">
        <w:tc>
          <w:tcPr>
            <w:tcW w:w="421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55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61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457E6B" w:rsidRPr="00457E6B" w:rsidTr="00457E6B">
        <w:tc>
          <w:tcPr>
            <w:tcW w:w="421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2.1 Наявність стоянки недалеко від головного входу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закладу</w:t>
            </w:r>
          </w:p>
        </w:tc>
        <w:tc>
          <w:tcPr>
            <w:tcW w:w="155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Align w:val="center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21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2.2. Виділені місця стоянки шириною 3,5 м</w:t>
            </w:r>
          </w:p>
        </w:tc>
        <w:tc>
          <w:tcPr>
            <w:tcW w:w="155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Align w:val="center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21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2.3 Ширина місця стоянки достатня для проїзду візка</w:t>
            </w:r>
          </w:p>
        </w:tc>
        <w:tc>
          <w:tcPr>
            <w:tcW w:w="155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Align w:val="center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21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2.4 Виїзд зі стоянки на пішохідну доріжку обладнаний похилою площиною (пандусом)</w:t>
            </w:r>
          </w:p>
        </w:tc>
        <w:tc>
          <w:tcPr>
            <w:tcW w:w="155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Align w:val="center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21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2.5 Наявні знаки-піктограми «Стоянка для інвалідів»</w:t>
            </w:r>
          </w:p>
        </w:tc>
        <w:tc>
          <w:tcPr>
            <w:tcW w:w="1559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  <w:vAlign w:val="center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Зауваження та доповнення: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</w:pPr>
      <w:r w:rsidRPr="00457E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Зона паркування відсутня. Автомобілі </w:t>
      </w:r>
      <w:proofErr w:type="spellStart"/>
      <w:r w:rsidRPr="00457E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паркують</w:t>
      </w:r>
      <w:proofErr w:type="spellEnd"/>
      <w:r w:rsidRPr="00457E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 на прилеглій вулиці до</w:t>
      </w:r>
      <w:r w:rsidRPr="00457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______ </w:t>
      </w:r>
      <w:r w:rsidRPr="00457E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закладу.</w:t>
      </w:r>
      <w:r w:rsidRPr="00457E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B8650C" w:rsidRPr="00457E6B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  <w:r w:rsidRPr="00457E6B"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  <w:lastRenderedPageBreak/>
        <w:t>ВХОДИ/ВИХОДИ, ДВЕРІ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ind w:left="720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760"/>
      </w:tblGrid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3.1 Споруда має чітко видний, доступний головний вхід з вулиці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3.2 Передбачений альтернативний доступ через службовий або додатковий вхід /При недоступності з головного входу наявність інформації (піктограми) про альтернативний вхід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3.3 Майданчик перед входом, а також пандус, сходи, піднімальні пристрої для дітей з інвалідністю захищені від атмосферних опадів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3.4 Зручне розташування дверей: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3.5 Ширина проходу вхідних дверей (в просвіті) &gt; 850 мм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3.6 Вхід прямий і рівний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3.7 Габарити тамбура дозволяють маневрувати інвалідним візком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3.8 Решітка/щітка для витирання ніг не створює бар’єру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3.9 При необхідності  облаштування порога, його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висота не повинна перевищувати (2,5 см) / краї порога заокруглені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3.10 Ручки дверей мають форму, поверхню та розташування, зручні для охоплення рукою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3.11 Максимальне зусилля для відкривання чи закривання дверей не перевищує 2,5 кг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3.12 Час автоматичного/примусового закриття не менший ніж 5 сек.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3.13 Двері облаштовані спеціальними пристосуваннями для фіксації дверних полотен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в положенні «зачинено» і  «відчинено»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3.14 Скляні вхідні двері з автоматичним відкриванням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3.15 При використанні дверей із заскленими полотнами потрібно передбачати на склі яскравого маркування, непрозорої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попереджувальні смуги шириною 0,15 м (на висоті 1,6 м від рівня підлоги)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3.16 У полотнах вхідних дверей передбачені оглядові панелі з протиударного скла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3.17 Нижня частина дверних полотен захищена протиударною смугою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3.18 Доступні для неповносправних усі частини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будівлі від головного входу / альтернативного входу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549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3.19 Для дітей з обмеженим зором передбачена система візуальної, тактильної та звукової інформації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7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p w:rsidR="00B8650C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p w:rsidR="00B8650C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p w:rsidR="00B8650C" w:rsidRPr="00457E6B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  <w:r w:rsidRPr="00457E6B"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  <w:lastRenderedPageBreak/>
        <w:t>СХОДИ І ПАНДУСИ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ind w:left="720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701"/>
      </w:tblGrid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4.1 Сходи</w:t>
            </w: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4.1.1 Сходи неслизькі, мають спеціальне покриття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4.1.2 Сходи мають тактильне (рельєфне) та візуальне (кольором) попередження на початку і в кінці сходів мінімум за 600 мм від 1-ї сходинки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4.1.3 Конструкція сходинок безпечна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4.1.4 Суцільні, без розривів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4.1.5 Наявність поруччя при сходах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4.1.6 Поруччя повинні бути круглого розрізу діаметром не менше 0.03 м і не більше 0.05 м, чи прямокутного розрізу товщиною не більше 0.04 м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4.1.7 Поруччя вгорі і внизу паралельні до підлоги, продовжуються на 300 мм далі від крайньої сходинки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Пандуси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4.2.1 Пандус захищений від атмосферних опадів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4.2.2 Висота підйому кожного маршу пандуса не перевищує 0,8 м (Нахил не менше ніж 1:12)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4.2.1 При підйомі до 0,2 м нахил пандуса може бути  1:10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 На початку та в кінці кожного підйому пандуса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влаштовані горизонтальні площадки шириною не менше ширини маршу пандуса і довжиною не менше 1,5 м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4.2.3 Горизонтальні майданчики на поворотах (Розміри площадки не менше 1,5 х 1,5 м)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4.2.4 Ширина пандуса відповідає основним параметрам проходів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4.2.5 При довжині пандуса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&gt; 8м є горизонтальні площадки для відпочинку довжиною 1500мм по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ширині пандуса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535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4.2.6 3 обох боків пандуса є стінки, бортики, рейки або інші обмежувачі висотою &gt;50 мм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70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Зауваження та доповнення: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B8650C" w:rsidRDefault="00B8650C" w:rsidP="00B86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8650C" w:rsidRDefault="00B8650C" w:rsidP="00B865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57E6B" w:rsidRPr="00B8650C" w:rsidRDefault="00457E6B" w:rsidP="00B8650C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865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ru-RU" w:eastAsia="ru-RU"/>
        </w:rPr>
        <w:lastRenderedPageBreak/>
        <w:t>КОРИДОРИ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560"/>
        <w:gridCol w:w="1417"/>
        <w:gridCol w:w="1985"/>
      </w:tblGrid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5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198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 Мінімальна ширина коридору при односторонньому руху людей у візках 1200 мм </w:t>
            </w:r>
          </w:p>
        </w:tc>
        <w:tc>
          <w:tcPr>
            <w:tcW w:w="15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5.2 Мінімальна ширина коридору в місцях постійного відвідування людей з інвалідністю 1800 мм </w:t>
            </w:r>
          </w:p>
        </w:tc>
        <w:tc>
          <w:tcPr>
            <w:tcW w:w="15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5.3 </w:t>
            </w:r>
            <w:proofErr w:type="spellStart"/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Безбар’єрність</w:t>
            </w:r>
            <w:proofErr w:type="spellEnd"/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висоті &gt;2100 мм, не перешкоджає незрячим </w:t>
            </w:r>
          </w:p>
        </w:tc>
        <w:tc>
          <w:tcPr>
            <w:tcW w:w="15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5.4 Предмети інтер’єру в коридорі не ускладнюють пересування людей з інвалідністю </w:t>
            </w:r>
          </w:p>
        </w:tc>
        <w:tc>
          <w:tcPr>
            <w:tcW w:w="15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5.5 Двері приміщень вздовж коридору відчиняються в бік коридору (у середину приміщення) </w:t>
            </w:r>
          </w:p>
        </w:tc>
        <w:tc>
          <w:tcPr>
            <w:tcW w:w="156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Зауваження та доповнення: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B8650C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B8650C" w:rsidRPr="00457E6B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  <w:r w:rsidRPr="00457E6B"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  <w:lastRenderedPageBreak/>
        <w:t>6. ЛІФТИ, ПІДЙОМНІ ПРИСТРОЇ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b/>
          <w:bCs/>
          <w:color w:val="000000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417"/>
        <w:gridCol w:w="1470"/>
        <w:gridCol w:w="2216"/>
      </w:tblGrid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6.1 </w:t>
            </w:r>
            <w:proofErr w:type="spellStart"/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Співпадіння</w:t>
            </w:r>
            <w:proofErr w:type="spellEnd"/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 рівня підлоги ліфта та поверху ±13мм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6.2 Двері відчиняються на ширину не менше ніж 850мм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6.3 Двері, відчинившись, лишаються повністю відчиненими не менше ніж 5 секунд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6.3 Двері, відчинившись, лишаються повністю відчиненими не менше ніж 5 секунд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6.4 Кнопки керування ліфтом між 850 мм і 1100 мм над рівнем підлоги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6.5 Кнопка входу на перший поверх виділяється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6.6 Підлога ліфта неслизька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6.7 Поруччя на висоті 815 мм і 46 мм від стіни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6.8 Дзеркало в кабіні ліфта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6.9 Зовнішня кнопка виклику розміщується на рівні 1100 — 1500 мм над підлогою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6.10 Зовнішні кнопки виразні та реагують на рух і зупинку ліфта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6.11 Тактильні позначення на кнопках на кожному поверсі та в ліфті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50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6.12 Є світлові, графічні та тактильні позначення поверхів </w:t>
            </w:r>
          </w:p>
        </w:tc>
        <w:tc>
          <w:tcPr>
            <w:tcW w:w="1417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21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b/>
          <w:bCs/>
          <w:color w:val="000000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Зауваження та доповнення: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</w:p>
    <w:p w:rsid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</w:p>
    <w:p w:rsidR="00B8650C" w:rsidRPr="00457E6B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  <w:r w:rsidRPr="00457E6B"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  <w:lastRenderedPageBreak/>
        <w:t>7. ТУАЛЕТИ І ДУШОВІ КАБІНКИ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ind w:left="720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850"/>
        <w:gridCol w:w="851"/>
        <w:gridCol w:w="1843"/>
      </w:tblGrid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Bold" w:eastAsia="Times New Roman" w:hAnsi="MinionPro-Bold" w:cs="MinionPro-Bold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457E6B" w:rsidRPr="00457E6B" w:rsidTr="00457E6B">
        <w:tc>
          <w:tcPr>
            <w:tcW w:w="9606" w:type="dxa"/>
            <w:gridSpan w:val="4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b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b/>
                <w:bCs/>
                <w:color w:val="000000"/>
                <w:sz w:val="24"/>
                <w:szCs w:val="24"/>
                <w:lang w:eastAsia="ru-RU"/>
              </w:rPr>
              <w:t>Туалети</w:t>
            </w: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7.1. Розміри кабін вбиралень для відвідувача на кріслі-візку повинні мати ширину не менше за 1,65м, глибину — 1,8м. Двері повинні відкриватися назовні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7.2. Двері мінімальною шириною 850 мм, легко відчиняються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7.3 Наявність додаткової горизонтальної ручки на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дверях з внутрішньої сторони на висоті 80 — 100 см від підлоги і 20 — 30 см від краю дверей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7.3 Наявність додаткової горизонтальної ручки на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дверях з внутрішньої сторони на висоті 80 — 100 см від підлоги і 20 — 30 см від краю дверей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7.4 Замок на дверях можна відімкнути однією рукою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7.5 Сидіння унітазу 45-50 см над рівнем підлоги (на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рівні сидіння крісла-візка)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7.6 Сидіння унітазу стійке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7.7 Пристрій зливу води доступний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7.8 Поруччя 30 — 40мм у діаметрі, віддалені від стіни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мін на 40 мм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7.9 Поруччя надійно закріплені, можуть витримати вагу 130 кг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7.10 Поруччя довжиною мінімально 900 мм, на висоті 840мм — 920мм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7.11 Вільне місце перед унітазом мінімально 800 мм по ширині візка і 1100 мм по довжині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7.11 Вільне місце перед унітазом мінімально 800 мм по ширині візка і 1100 мм по довжині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7.12 Труби гарячої води ізольовані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  <w:t>відсутні</w:t>
            </w: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7.13 У чоловічих туалетах один з пісуарів встановлюється на 500мм ± 10мм над рівнем підлоги, без сходин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7.14 У разі, якщо є дзеркало, його нижній край &lt;1,000мм над рівнем підлоги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7.15 У кабіні туалету, пристосованого для осіб у візках, встановлюється пристрій екстреного виклику на висоті максимально 1,100 мм від підлоги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7.16 Сидіння стійке, підіймається і опускається та витримує вагу мінімально 130 кг, легко чиститься і змивається водою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9606" w:type="dxa"/>
            <w:gridSpan w:val="4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b/>
                <w:color w:val="000000"/>
                <w:sz w:val="20"/>
                <w:szCs w:val="20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b/>
                <w:bCs/>
                <w:color w:val="000000"/>
                <w:sz w:val="24"/>
                <w:szCs w:val="24"/>
                <w:lang w:eastAsia="ru-RU"/>
              </w:rPr>
              <w:t xml:space="preserve">Душова кабінка </w:t>
            </w: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7.17 Душова кабінка без дверей, обладнана горизонтальними та вертикальними поручнями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7.18 Душова кабінка мінімальною шириною 900 мм і довжиною 1500 мм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7.18 Душова кабінка мінімальною шириною 900 мм і довжиною 1500 мм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7.19 Підлога душу неслизька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7.20 Є можливість користування душем у сидячому положенні, включно з регулюванням температури води, фіксацією </w:t>
            </w:r>
            <w:proofErr w:type="spellStart"/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розбризкувача</w:t>
            </w:r>
            <w:proofErr w:type="spellEnd"/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, досяжності мильниці 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lastRenderedPageBreak/>
              <w:t>7.21 Душ обладнаний портативним або прикріпленим до стіни/ відкидним сидінням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  <w:tr w:rsidR="00457E6B" w:rsidRPr="00457E6B" w:rsidTr="00457E6B">
        <w:tc>
          <w:tcPr>
            <w:tcW w:w="6062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7.22 Якщо є поріг, його висота становить максимально 13 мм</w:t>
            </w:r>
          </w:p>
        </w:tc>
        <w:tc>
          <w:tcPr>
            <w:tcW w:w="850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</w:pPr>
            <w:r w:rsidRPr="00457E6B">
              <w:rPr>
                <w:rFonts w:ascii="Calibri" w:eastAsia="Times New Roman" w:hAnsi="Calibri" w:cs="MinionPro-Regular"/>
                <w:color w:val="000000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843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inionPro-Regular" w:eastAsia="Times New Roman" w:hAnsi="MinionPro-Regular" w:cs="MinionPro-Regula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Зауваження та доповнення: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  <w:r w:rsidRPr="00457E6B"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  <w:r w:rsidRPr="00457E6B"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  <w:t>8. 3АХОДИ БЕЗПЕКИ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1328"/>
        <w:gridCol w:w="2464"/>
      </w:tblGrid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8.1. При наявності ліфта є також вестибюль або коридор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8.2. Поверх ділиться на дві протипожежні зони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8.3. Обладнаний елементами доступності аварійний</w:t>
            </w:r>
          </w:p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вихід з нижнього поверху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78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8.4. Доступні пандуси на нижньому поверсі </w:t>
            </w:r>
          </w:p>
        </w:tc>
        <w:tc>
          <w:tcPr>
            <w:tcW w:w="1276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b/>
          <w:bCs/>
          <w:color w:val="000000"/>
          <w:sz w:val="24"/>
          <w:szCs w:val="24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Зауваження та доповнення: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B8650C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B8650C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B8650C" w:rsidRPr="00457E6B" w:rsidRDefault="00B8650C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/>
          <w:iCs/>
          <w:color w:val="000000"/>
          <w:sz w:val="28"/>
          <w:szCs w:val="28"/>
          <w:lang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</w:pPr>
      <w:r w:rsidRPr="00457E6B">
        <w:rPr>
          <w:rFonts w:ascii="MinionPro-BoldIt" w:eastAsia="Times New Roman" w:hAnsi="MinionPro-BoldIt" w:cs="MinionPro-BoldIt"/>
          <w:b/>
          <w:bCs/>
          <w:iCs/>
          <w:color w:val="000000"/>
          <w:sz w:val="28"/>
          <w:szCs w:val="28"/>
          <w:lang w:val="ru-RU" w:eastAsia="ru-RU"/>
        </w:rPr>
        <w:lastRenderedPageBreak/>
        <w:t>9. ПОЗНАЧЕННЯ (ПІКТОГРАМИ)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418"/>
        <w:gridCol w:w="1328"/>
        <w:gridCol w:w="2464"/>
      </w:tblGrid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Показники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Ні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Примітка</w:t>
            </w: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10.1 Є вказівники напрямку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10.2 Є позначення входу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10.3 Є позначення про доступність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10.4 Доступний огляд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10.5 Доступні місця харчування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10.6 Доступні туалети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10.7 Доступні місця для паркування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 xml:space="preserve">10.8 Доступні в’їзди 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10.9 Позначення легко читаються та зрозумілі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10.10 Позначення видимі з рівня сидячи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7E6B" w:rsidRPr="00457E6B" w:rsidTr="00457E6B">
        <w:tc>
          <w:tcPr>
            <w:tcW w:w="464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</w:pPr>
            <w:r w:rsidRPr="00457E6B">
              <w:rPr>
                <w:rFonts w:ascii="MinionPro-Regular" w:eastAsia="Times New Roman" w:hAnsi="MinionPro-Regular" w:cs="MinionPro-Regular"/>
                <w:color w:val="000000"/>
                <w:sz w:val="24"/>
                <w:szCs w:val="24"/>
                <w:lang w:eastAsia="ru-RU"/>
              </w:rPr>
              <w:t>10.11 Позначення мають контрастну поверхню</w:t>
            </w:r>
          </w:p>
        </w:tc>
        <w:tc>
          <w:tcPr>
            <w:tcW w:w="141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457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1328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457E6B" w:rsidRPr="00457E6B" w:rsidRDefault="00457E6B" w:rsidP="00457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val="ru-RU"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MinionPro-Regular" w:eastAsia="Times New Roman" w:hAnsi="MinionPro-Regular" w:cs="MinionPro-Regular"/>
          <w:color w:val="000000"/>
          <w:sz w:val="20"/>
          <w:szCs w:val="20"/>
          <w:lang w:val="ru-RU" w:eastAsia="ru-RU"/>
        </w:rPr>
      </w:pP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Зауваження та доповнення: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457E6B" w:rsidRPr="00457E6B" w:rsidRDefault="00457E6B" w:rsidP="00457E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B8650C" w:rsidRDefault="00B8650C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p w:rsidR="00457E6B" w:rsidRDefault="00777ABD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  <w:r w:rsidRPr="002D048A">
        <w:rPr>
          <w:rFonts w:ascii="Times New Roman" w:eastAsia="GulimChe" w:hAnsi="Times New Roman" w:cs="Times New Roman"/>
          <w:sz w:val="28"/>
          <w:szCs w:val="28"/>
        </w:rPr>
        <w:lastRenderedPageBreak/>
        <w:t xml:space="preserve">Перелік необхідних робіт за результатами проведеного обстеження щодо організації </w:t>
      </w:r>
      <w:proofErr w:type="spellStart"/>
      <w:r w:rsidRPr="002D048A">
        <w:rPr>
          <w:rFonts w:ascii="Times New Roman" w:eastAsia="GulimChe" w:hAnsi="Times New Roman" w:cs="Times New Roman"/>
          <w:sz w:val="28"/>
          <w:szCs w:val="28"/>
        </w:rPr>
        <w:t>безбар</w:t>
      </w:r>
      <w:proofErr w:type="spellEnd"/>
      <w:r w:rsidRPr="002D048A">
        <w:rPr>
          <w:rFonts w:ascii="Times New Roman" w:eastAsia="GulimChe" w:hAnsi="Times New Roman" w:cs="Times New Roman"/>
          <w:sz w:val="28"/>
          <w:szCs w:val="28"/>
          <w:lang w:val="ru-RU"/>
        </w:rPr>
        <w:t>’</w:t>
      </w:r>
      <w:proofErr w:type="spellStart"/>
      <w:r w:rsidRPr="002D048A">
        <w:rPr>
          <w:rFonts w:ascii="Times New Roman" w:eastAsia="GulimChe" w:hAnsi="Times New Roman" w:cs="Times New Roman"/>
          <w:sz w:val="28"/>
          <w:szCs w:val="28"/>
        </w:rPr>
        <w:t>єрного</w:t>
      </w:r>
      <w:proofErr w:type="spellEnd"/>
      <w:r w:rsidRPr="002D048A">
        <w:rPr>
          <w:rFonts w:ascii="Times New Roman" w:eastAsia="GulimChe" w:hAnsi="Times New Roman" w:cs="Times New Roman"/>
          <w:sz w:val="28"/>
          <w:szCs w:val="28"/>
        </w:rPr>
        <w:t xml:space="preserve"> доступу до будівлі та приміщень </w:t>
      </w:r>
    </w:p>
    <w:p w:rsidR="00777ABD" w:rsidRDefault="00777ABD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  <w:r w:rsidRPr="002D048A">
        <w:rPr>
          <w:rFonts w:ascii="Times New Roman" w:eastAsia="GulimChe" w:hAnsi="Times New Roman" w:cs="Times New Roman"/>
          <w:sz w:val="28"/>
          <w:szCs w:val="28"/>
        </w:rPr>
        <w:t>НВК «ДНЗ – ЗОШ І ст.»</w:t>
      </w:r>
    </w:p>
    <w:p w:rsidR="00457E6B" w:rsidRPr="002D048A" w:rsidRDefault="00457E6B" w:rsidP="00457E6B">
      <w:pPr>
        <w:spacing w:after="0" w:line="240" w:lineRule="auto"/>
        <w:jc w:val="center"/>
        <w:rPr>
          <w:rFonts w:ascii="Times New Roman" w:eastAsia="GulimChe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6143"/>
        <w:gridCol w:w="1479"/>
        <w:gridCol w:w="1678"/>
      </w:tblGrid>
      <w:tr w:rsidR="00696724" w:rsidRPr="002D048A" w:rsidTr="00696724">
        <w:tc>
          <w:tcPr>
            <w:tcW w:w="528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167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Перелік робіт</w:t>
            </w:r>
          </w:p>
        </w:tc>
        <w:tc>
          <w:tcPr>
            <w:tcW w:w="1480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Вартість </w:t>
            </w:r>
          </w:p>
        </w:tc>
        <w:tc>
          <w:tcPr>
            <w:tcW w:w="1680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Примітка</w:t>
            </w:r>
          </w:p>
        </w:tc>
      </w:tr>
      <w:tr w:rsidR="00696724" w:rsidRPr="002D048A" w:rsidTr="00696724">
        <w:tc>
          <w:tcPr>
            <w:tcW w:w="528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67" w:type="dxa"/>
          </w:tcPr>
          <w:p w:rsidR="00696724" w:rsidRPr="002D048A" w:rsidRDefault="00696724" w:rsidP="006648A9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Облаштування території закладу для пересування МГН (укладання асфальтованого покриття (</w:t>
            </w:r>
            <w:r w:rsidR="009522EF"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кв.м</w:t>
            </w:r>
            <w:proofErr w:type="spellEnd"/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0" w:type="dxa"/>
          </w:tcPr>
          <w:p w:rsidR="00696724" w:rsidRPr="002D048A" w:rsidRDefault="009522EF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15 000 грн</w:t>
            </w:r>
          </w:p>
        </w:tc>
        <w:tc>
          <w:tcPr>
            <w:tcW w:w="1680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696724" w:rsidRPr="002D048A" w:rsidTr="00696724">
        <w:tc>
          <w:tcPr>
            <w:tcW w:w="528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67" w:type="dxa"/>
          </w:tcPr>
          <w:p w:rsidR="00696724" w:rsidRPr="002D048A" w:rsidRDefault="00835C95" w:rsidP="00835C95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Встановлення пандусу </w:t>
            </w:r>
            <w:r w:rsidR="009522EF"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із блоків</w:t>
            </w:r>
          </w:p>
        </w:tc>
        <w:tc>
          <w:tcPr>
            <w:tcW w:w="1480" w:type="dxa"/>
          </w:tcPr>
          <w:p w:rsidR="00696724" w:rsidRPr="002D048A" w:rsidRDefault="002D048A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6 000 грн</w:t>
            </w:r>
          </w:p>
        </w:tc>
        <w:tc>
          <w:tcPr>
            <w:tcW w:w="1680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696724" w:rsidRPr="002D048A" w:rsidTr="00696724">
        <w:tc>
          <w:tcPr>
            <w:tcW w:w="528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67" w:type="dxa"/>
          </w:tcPr>
          <w:p w:rsidR="00696724" w:rsidRPr="002D048A" w:rsidRDefault="002C2B29" w:rsidP="00835C95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Встановлення навісу</w:t>
            </w:r>
            <w:r w:rsidR="002D048A"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 над пандусом</w:t>
            </w:r>
          </w:p>
        </w:tc>
        <w:tc>
          <w:tcPr>
            <w:tcW w:w="1480" w:type="dxa"/>
          </w:tcPr>
          <w:p w:rsidR="00696724" w:rsidRPr="002D048A" w:rsidRDefault="002D048A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7 500 грн</w:t>
            </w:r>
          </w:p>
        </w:tc>
        <w:tc>
          <w:tcPr>
            <w:tcW w:w="1680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696724" w:rsidRPr="002D048A" w:rsidTr="00696724">
        <w:tc>
          <w:tcPr>
            <w:tcW w:w="528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67" w:type="dxa"/>
          </w:tcPr>
          <w:p w:rsidR="00696724" w:rsidRPr="002D048A" w:rsidRDefault="002D048A" w:rsidP="00835C95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Заміна вхідних дверей</w:t>
            </w:r>
          </w:p>
        </w:tc>
        <w:tc>
          <w:tcPr>
            <w:tcW w:w="1480" w:type="dxa"/>
          </w:tcPr>
          <w:p w:rsidR="00696724" w:rsidRPr="002D048A" w:rsidRDefault="002D048A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3 500 грн</w:t>
            </w:r>
          </w:p>
        </w:tc>
        <w:tc>
          <w:tcPr>
            <w:tcW w:w="1680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696724" w:rsidRPr="002D048A" w:rsidTr="00696724">
        <w:tc>
          <w:tcPr>
            <w:tcW w:w="528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67" w:type="dxa"/>
          </w:tcPr>
          <w:p w:rsidR="00696724" w:rsidRPr="002D048A" w:rsidRDefault="002D048A" w:rsidP="00835C95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Вирівнювання підлоги</w:t>
            </w:r>
          </w:p>
        </w:tc>
        <w:tc>
          <w:tcPr>
            <w:tcW w:w="1480" w:type="dxa"/>
          </w:tcPr>
          <w:p w:rsidR="00696724" w:rsidRPr="002D048A" w:rsidRDefault="002D048A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2 400 грн</w:t>
            </w:r>
          </w:p>
        </w:tc>
        <w:tc>
          <w:tcPr>
            <w:tcW w:w="1680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696724" w:rsidRPr="002D048A" w:rsidTr="00696724">
        <w:tc>
          <w:tcPr>
            <w:tcW w:w="528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67" w:type="dxa"/>
          </w:tcPr>
          <w:p w:rsidR="00696724" w:rsidRPr="002D048A" w:rsidRDefault="002D048A" w:rsidP="00835C95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Встановлення перил на </w:t>
            </w:r>
            <w:proofErr w:type="spellStart"/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пандос</w:t>
            </w:r>
            <w:proofErr w:type="spellEnd"/>
          </w:p>
        </w:tc>
        <w:tc>
          <w:tcPr>
            <w:tcW w:w="1480" w:type="dxa"/>
          </w:tcPr>
          <w:p w:rsidR="00696724" w:rsidRPr="002D048A" w:rsidRDefault="002D048A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5 600 грн</w:t>
            </w:r>
          </w:p>
        </w:tc>
        <w:tc>
          <w:tcPr>
            <w:tcW w:w="1680" w:type="dxa"/>
          </w:tcPr>
          <w:p w:rsidR="00696724" w:rsidRPr="002D048A" w:rsidRDefault="00696724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457E6B" w:rsidRPr="002D048A" w:rsidTr="00696724">
        <w:tc>
          <w:tcPr>
            <w:tcW w:w="528" w:type="dxa"/>
          </w:tcPr>
          <w:p w:rsidR="00457E6B" w:rsidRPr="002D048A" w:rsidRDefault="00457E6B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67" w:type="dxa"/>
          </w:tcPr>
          <w:p w:rsidR="00457E6B" w:rsidRPr="002D048A" w:rsidRDefault="00457E6B" w:rsidP="00835C95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Облаштування будівлі піктограмами</w:t>
            </w:r>
          </w:p>
        </w:tc>
        <w:tc>
          <w:tcPr>
            <w:tcW w:w="1480" w:type="dxa"/>
          </w:tcPr>
          <w:p w:rsidR="00457E6B" w:rsidRPr="002D048A" w:rsidRDefault="00457E6B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2 000 грн</w:t>
            </w:r>
          </w:p>
        </w:tc>
        <w:tc>
          <w:tcPr>
            <w:tcW w:w="1680" w:type="dxa"/>
          </w:tcPr>
          <w:p w:rsidR="00457E6B" w:rsidRPr="002D048A" w:rsidRDefault="00457E6B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2D048A" w:rsidRPr="002D048A" w:rsidTr="00457E6B">
        <w:tc>
          <w:tcPr>
            <w:tcW w:w="6695" w:type="dxa"/>
            <w:gridSpan w:val="2"/>
          </w:tcPr>
          <w:p w:rsidR="002D048A" w:rsidRPr="002D048A" w:rsidRDefault="002D048A" w:rsidP="00835C95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480" w:type="dxa"/>
          </w:tcPr>
          <w:p w:rsidR="002D048A" w:rsidRPr="00457E6B" w:rsidRDefault="00457E6B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42</w:t>
            </w:r>
            <w:r w:rsidRPr="00457E6B">
              <w:rPr>
                <w:rFonts w:ascii="Times New Roman" w:eastAsia="GulimChe" w:hAnsi="Times New Roman" w:cs="Times New Roman"/>
                <w:sz w:val="28"/>
                <w:szCs w:val="28"/>
              </w:rPr>
              <w:t> 0</w:t>
            </w:r>
            <w:r w:rsidR="002D048A" w:rsidRPr="00457E6B">
              <w:rPr>
                <w:rFonts w:ascii="Times New Roman" w:eastAsia="GulimChe" w:hAnsi="Times New Roman" w:cs="Times New Roman"/>
                <w:sz w:val="28"/>
                <w:szCs w:val="28"/>
              </w:rPr>
              <w:t>00</w:t>
            </w:r>
            <w:r w:rsidRPr="00457E6B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1680" w:type="dxa"/>
          </w:tcPr>
          <w:p w:rsidR="002D048A" w:rsidRPr="002D048A" w:rsidRDefault="002D048A" w:rsidP="00777ABD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</w:tbl>
    <w:p w:rsidR="00777ABD" w:rsidRDefault="00777ABD" w:rsidP="00777ABD">
      <w:pPr>
        <w:jc w:val="center"/>
        <w:rPr>
          <w:rFonts w:ascii="Times New Roman" w:eastAsia="GulimChe" w:hAnsi="Times New Roman" w:cs="Times New Roman"/>
          <w:sz w:val="24"/>
          <w:szCs w:val="24"/>
        </w:rPr>
      </w:pPr>
    </w:p>
    <w:p w:rsidR="002C2B29" w:rsidRDefault="002D048A" w:rsidP="002C2B29">
      <w:pPr>
        <w:pStyle w:val="Bodytext20"/>
        <w:shd w:val="clear" w:color="auto" w:fill="auto"/>
        <w:spacing w:before="0" w:after="0" w:line="322" w:lineRule="exact"/>
        <w:jc w:val="center"/>
        <w:rPr>
          <w:sz w:val="28"/>
        </w:rPr>
      </w:pPr>
      <w:r w:rsidRPr="002D048A">
        <w:rPr>
          <w:sz w:val="28"/>
        </w:rPr>
        <w:t>Поквартальний план-графік здійснення реконструкції будівлі та</w:t>
      </w:r>
    </w:p>
    <w:p w:rsidR="002D048A" w:rsidRDefault="002D048A" w:rsidP="002C2B29">
      <w:pPr>
        <w:pStyle w:val="Bodytext20"/>
        <w:shd w:val="clear" w:color="auto" w:fill="auto"/>
        <w:spacing w:before="0" w:after="0" w:line="322" w:lineRule="exact"/>
        <w:jc w:val="center"/>
        <w:rPr>
          <w:sz w:val="28"/>
        </w:rPr>
      </w:pPr>
      <w:r w:rsidRPr="002D048A">
        <w:rPr>
          <w:sz w:val="28"/>
        </w:rPr>
        <w:t>встановлення пандусу</w:t>
      </w:r>
    </w:p>
    <w:p w:rsidR="002C2B29" w:rsidRPr="002D048A" w:rsidRDefault="002C2B29" w:rsidP="002C2B29">
      <w:pPr>
        <w:pStyle w:val="Bodytext20"/>
        <w:shd w:val="clear" w:color="auto" w:fill="auto"/>
        <w:spacing w:before="0" w:after="0" w:line="322" w:lineRule="exact"/>
        <w:jc w:val="center"/>
        <w:rPr>
          <w:sz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55"/>
        <w:gridCol w:w="4662"/>
        <w:gridCol w:w="1798"/>
        <w:gridCol w:w="1598"/>
        <w:gridCol w:w="1418"/>
      </w:tblGrid>
      <w:tr w:rsidR="002C2B29" w:rsidRPr="002D048A" w:rsidTr="002C2B29">
        <w:tc>
          <w:tcPr>
            <w:tcW w:w="555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662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Перелік робіт</w:t>
            </w:r>
          </w:p>
        </w:tc>
        <w:tc>
          <w:tcPr>
            <w:tcW w:w="17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Вартість </w:t>
            </w:r>
          </w:p>
        </w:tc>
        <w:tc>
          <w:tcPr>
            <w:tcW w:w="15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Дата проведення робіт</w:t>
            </w:r>
          </w:p>
        </w:tc>
        <w:tc>
          <w:tcPr>
            <w:tcW w:w="1418" w:type="dxa"/>
          </w:tcPr>
          <w:p w:rsidR="002C2B29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Примітка</w:t>
            </w:r>
          </w:p>
        </w:tc>
      </w:tr>
      <w:tr w:rsidR="002C2B29" w:rsidRPr="002D048A" w:rsidTr="002C2B29">
        <w:tc>
          <w:tcPr>
            <w:tcW w:w="555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62" w:type="dxa"/>
          </w:tcPr>
          <w:p w:rsidR="002C2B29" w:rsidRPr="002D048A" w:rsidRDefault="002C2B29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Облаштування території закладу для пересування МГН (укладання асфальтованого покриття (30 </w:t>
            </w:r>
            <w:proofErr w:type="spellStart"/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кв.м</w:t>
            </w:r>
            <w:proofErr w:type="spellEnd"/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15 000 грн</w:t>
            </w:r>
          </w:p>
        </w:tc>
        <w:tc>
          <w:tcPr>
            <w:tcW w:w="1598" w:type="dxa"/>
          </w:tcPr>
          <w:p w:rsidR="002C2B29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ІІ – ІІІ квартал</w:t>
            </w:r>
          </w:p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2019 року</w:t>
            </w:r>
          </w:p>
        </w:tc>
        <w:tc>
          <w:tcPr>
            <w:tcW w:w="141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2C2B29" w:rsidRPr="002D048A" w:rsidTr="002C2B29">
        <w:tc>
          <w:tcPr>
            <w:tcW w:w="555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62" w:type="dxa"/>
          </w:tcPr>
          <w:p w:rsidR="002C2B29" w:rsidRPr="002D048A" w:rsidRDefault="002C2B29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Встановлення пандусу із блоків</w:t>
            </w:r>
          </w:p>
        </w:tc>
        <w:tc>
          <w:tcPr>
            <w:tcW w:w="17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6 000 грн</w:t>
            </w:r>
          </w:p>
        </w:tc>
        <w:tc>
          <w:tcPr>
            <w:tcW w:w="1598" w:type="dxa"/>
            <w:vMerge w:val="restart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ІІІ – ІУ квартал 2019 року</w:t>
            </w:r>
          </w:p>
        </w:tc>
        <w:tc>
          <w:tcPr>
            <w:tcW w:w="141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2C2B29" w:rsidRPr="002D048A" w:rsidTr="002C2B29">
        <w:tc>
          <w:tcPr>
            <w:tcW w:w="555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62" w:type="dxa"/>
          </w:tcPr>
          <w:p w:rsidR="002C2B29" w:rsidRPr="002D048A" w:rsidRDefault="002C2B29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Встановлення навісу</w:t>
            </w: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 над пандусом</w:t>
            </w:r>
          </w:p>
        </w:tc>
        <w:tc>
          <w:tcPr>
            <w:tcW w:w="17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7 500 грн</w:t>
            </w:r>
          </w:p>
        </w:tc>
        <w:tc>
          <w:tcPr>
            <w:tcW w:w="1598" w:type="dxa"/>
            <w:vMerge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2C2B29" w:rsidRPr="002D048A" w:rsidTr="002C2B29">
        <w:tc>
          <w:tcPr>
            <w:tcW w:w="555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62" w:type="dxa"/>
          </w:tcPr>
          <w:p w:rsidR="002C2B29" w:rsidRPr="002D048A" w:rsidRDefault="002C2B29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Заміна вхідних дверей</w:t>
            </w:r>
          </w:p>
        </w:tc>
        <w:tc>
          <w:tcPr>
            <w:tcW w:w="17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3 500 грн</w:t>
            </w:r>
          </w:p>
        </w:tc>
        <w:tc>
          <w:tcPr>
            <w:tcW w:w="1598" w:type="dxa"/>
            <w:vMerge w:val="restart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ІІІ – ІУ квартал 2018 року</w:t>
            </w:r>
          </w:p>
        </w:tc>
        <w:tc>
          <w:tcPr>
            <w:tcW w:w="141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2C2B29" w:rsidRPr="002D048A" w:rsidTr="002C2B29">
        <w:tc>
          <w:tcPr>
            <w:tcW w:w="555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62" w:type="dxa"/>
          </w:tcPr>
          <w:p w:rsidR="002C2B29" w:rsidRPr="002D048A" w:rsidRDefault="002C2B29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Вирівнювання підлоги</w:t>
            </w:r>
          </w:p>
        </w:tc>
        <w:tc>
          <w:tcPr>
            <w:tcW w:w="17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2 400 грн</w:t>
            </w:r>
          </w:p>
        </w:tc>
        <w:tc>
          <w:tcPr>
            <w:tcW w:w="1598" w:type="dxa"/>
            <w:vMerge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2C2B29" w:rsidRPr="002D048A" w:rsidTr="002C2B29">
        <w:tc>
          <w:tcPr>
            <w:tcW w:w="555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62" w:type="dxa"/>
          </w:tcPr>
          <w:p w:rsidR="002C2B29" w:rsidRPr="002D048A" w:rsidRDefault="002C2B29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Встановлення перил на </w:t>
            </w:r>
            <w:proofErr w:type="spellStart"/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пандос</w:t>
            </w:r>
            <w:proofErr w:type="spellEnd"/>
          </w:p>
        </w:tc>
        <w:tc>
          <w:tcPr>
            <w:tcW w:w="17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5 600 грн</w:t>
            </w:r>
          </w:p>
        </w:tc>
        <w:tc>
          <w:tcPr>
            <w:tcW w:w="15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ІІІ – ІУ квартал 2019 року</w:t>
            </w:r>
          </w:p>
        </w:tc>
        <w:tc>
          <w:tcPr>
            <w:tcW w:w="141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457E6B" w:rsidRPr="002D048A" w:rsidTr="002C2B29">
        <w:tc>
          <w:tcPr>
            <w:tcW w:w="555" w:type="dxa"/>
          </w:tcPr>
          <w:p w:rsidR="00457E6B" w:rsidRPr="002D048A" w:rsidRDefault="00457E6B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62" w:type="dxa"/>
          </w:tcPr>
          <w:p w:rsidR="00457E6B" w:rsidRPr="002D048A" w:rsidRDefault="00457E6B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Облаштування піктограмами приміщень НВК</w:t>
            </w:r>
          </w:p>
        </w:tc>
        <w:tc>
          <w:tcPr>
            <w:tcW w:w="1798" w:type="dxa"/>
          </w:tcPr>
          <w:p w:rsidR="00457E6B" w:rsidRPr="002D048A" w:rsidRDefault="00457E6B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2 000 грн</w:t>
            </w:r>
          </w:p>
        </w:tc>
        <w:tc>
          <w:tcPr>
            <w:tcW w:w="1598" w:type="dxa"/>
          </w:tcPr>
          <w:p w:rsidR="00457E6B" w:rsidRDefault="00457E6B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ІУ квартал 2019 року</w:t>
            </w:r>
          </w:p>
        </w:tc>
        <w:tc>
          <w:tcPr>
            <w:tcW w:w="1418" w:type="dxa"/>
          </w:tcPr>
          <w:p w:rsidR="00457E6B" w:rsidRPr="002D048A" w:rsidRDefault="00457E6B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  <w:tr w:rsidR="002C2B29" w:rsidRPr="002D048A" w:rsidTr="002C2B29">
        <w:tc>
          <w:tcPr>
            <w:tcW w:w="5217" w:type="dxa"/>
            <w:gridSpan w:val="2"/>
          </w:tcPr>
          <w:p w:rsidR="002C2B29" w:rsidRDefault="002C2B29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  <w:p w:rsidR="002C2B29" w:rsidRPr="002D048A" w:rsidRDefault="002C2B29" w:rsidP="00457E6B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 w:rsidRPr="002D048A">
              <w:rPr>
                <w:rFonts w:ascii="Times New Roman" w:eastAsia="GulimChe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1798" w:type="dxa"/>
          </w:tcPr>
          <w:p w:rsidR="002C2B29" w:rsidRPr="002C2B29" w:rsidRDefault="002C2B29" w:rsidP="002C2B29">
            <w:pPr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  <w:p w:rsidR="002C2B29" w:rsidRPr="002C2B29" w:rsidRDefault="00457E6B" w:rsidP="002C2B29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  <w:r>
              <w:rPr>
                <w:rFonts w:ascii="Times New Roman" w:eastAsia="GulimChe" w:hAnsi="Times New Roman" w:cs="Times New Roman"/>
                <w:sz w:val="28"/>
                <w:szCs w:val="28"/>
              </w:rPr>
              <w:t>42</w:t>
            </w:r>
            <w:r w:rsidR="002C2B29">
              <w:rPr>
                <w:rFonts w:ascii="Times New Roman" w:eastAsia="GulimChe" w:hAnsi="Times New Roman" w:cs="Times New Roman"/>
                <w:sz w:val="28"/>
                <w:szCs w:val="28"/>
              </w:rPr>
              <w:t xml:space="preserve"> </w:t>
            </w:r>
            <w:r w:rsidR="002C2B29" w:rsidRPr="002C2B29">
              <w:rPr>
                <w:rFonts w:ascii="Times New Roman" w:eastAsia="GulimChe" w:hAnsi="Times New Roman" w:cs="Times New Roman"/>
                <w:sz w:val="28"/>
                <w:szCs w:val="28"/>
              </w:rPr>
              <w:t>000 грн</w:t>
            </w:r>
          </w:p>
        </w:tc>
        <w:tc>
          <w:tcPr>
            <w:tcW w:w="159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C2B29" w:rsidRPr="002D048A" w:rsidRDefault="002C2B29" w:rsidP="00457E6B">
            <w:pPr>
              <w:jc w:val="center"/>
              <w:rPr>
                <w:rFonts w:ascii="Times New Roman" w:eastAsia="GulimChe" w:hAnsi="Times New Roman" w:cs="Times New Roman"/>
                <w:sz w:val="28"/>
                <w:szCs w:val="28"/>
              </w:rPr>
            </w:pPr>
          </w:p>
        </w:tc>
      </w:tr>
    </w:tbl>
    <w:p w:rsidR="002D048A" w:rsidRPr="00777ABD" w:rsidRDefault="002D048A" w:rsidP="00777ABD">
      <w:pPr>
        <w:jc w:val="center"/>
        <w:rPr>
          <w:rFonts w:ascii="Times New Roman" w:eastAsia="GulimChe" w:hAnsi="Times New Roman" w:cs="Times New Roman"/>
          <w:sz w:val="24"/>
          <w:szCs w:val="24"/>
        </w:rPr>
      </w:pPr>
    </w:p>
    <w:sectPr w:rsidR="002D048A" w:rsidRPr="00777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BoldI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" w15:restartNumberingAfterBreak="0">
    <w:nsid w:val="17B06230"/>
    <w:multiLevelType w:val="hybridMultilevel"/>
    <w:tmpl w:val="B47C94AA"/>
    <w:lvl w:ilvl="0" w:tplc="3FD435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1F983F84"/>
    <w:multiLevelType w:val="hybridMultilevel"/>
    <w:tmpl w:val="F050F6C2"/>
    <w:lvl w:ilvl="0" w:tplc="5CD48A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E3469"/>
    <w:multiLevelType w:val="hybridMultilevel"/>
    <w:tmpl w:val="4FD63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164"/>
    <w:multiLevelType w:val="hybridMultilevel"/>
    <w:tmpl w:val="25F48984"/>
    <w:lvl w:ilvl="0" w:tplc="4458684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A6E7E"/>
    <w:multiLevelType w:val="hybridMultilevel"/>
    <w:tmpl w:val="4EAE002E"/>
    <w:lvl w:ilvl="0" w:tplc="6FFEE7FC">
      <w:start w:val="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2A51F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2CB560E"/>
    <w:multiLevelType w:val="hybridMultilevel"/>
    <w:tmpl w:val="56BCDEC6"/>
    <w:lvl w:ilvl="0" w:tplc="4458684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64E30"/>
    <w:multiLevelType w:val="hybridMultilevel"/>
    <w:tmpl w:val="8BC0B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54047"/>
    <w:multiLevelType w:val="hybridMultilevel"/>
    <w:tmpl w:val="F9DE7B5C"/>
    <w:lvl w:ilvl="0" w:tplc="1896A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50A2D27"/>
    <w:multiLevelType w:val="hybridMultilevel"/>
    <w:tmpl w:val="6A42F4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94A30"/>
    <w:multiLevelType w:val="hybridMultilevel"/>
    <w:tmpl w:val="25F48984"/>
    <w:lvl w:ilvl="0" w:tplc="4458684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51A4"/>
    <w:multiLevelType w:val="hybridMultilevel"/>
    <w:tmpl w:val="522602D4"/>
    <w:lvl w:ilvl="0" w:tplc="79E01D9C">
      <w:start w:val="4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7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44"/>
    <w:rsid w:val="00257F44"/>
    <w:rsid w:val="002C2B29"/>
    <w:rsid w:val="002D048A"/>
    <w:rsid w:val="00457E6B"/>
    <w:rsid w:val="004F1B16"/>
    <w:rsid w:val="006648A9"/>
    <w:rsid w:val="00696724"/>
    <w:rsid w:val="00777ABD"/>
    <w:rsid w:val="00835C95"/>
    <w:rsid w:val="009522EF"/>
    <w:rsid w:val="00B8650C"/>
    <w:rsid w:val="00BD5008"/>
    <w:rsid w:val="00E93437"/>
    <w:rsid w:val="00F1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88DCC-3FF2-48AE-8813-E8BA6BD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57E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98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uiPriority w:val="99"/>
    <w:locked/>
    <w:rsid w:val="002D048A"/>
    <w:rPr>
      <w:rFonts w:ascii="Times New Roman" w:hAnsi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2D048A"/>
    <w:pPr>
      <w:widowControl w:val="0"/>
      <w:shd w:val="clear" w:color="auto" w:fill="FFFFFF"/>
      <w:spacing w:before="540" w:after="60" w:line="317" w:lineRule="exact"/>
    </w:pPr>
    <w:rPr>
      <w:rFonts w:ascii="Times New Roman" w:hAnsi="Times New Roman" w:cs="Times New Roman"/>
      <w:szCs w:val="28"/>
    </w:rPr>
  </w:style>
  <w:style w:type="paragraph" w:styleId="a4">
    <w:name w:val="List Paragraph"/>
    <w:basedOn w:val="a"/>
    <w:qFormat/>
    <w:rsid w:val="002D048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57E6B"/>
    <w:rPr>
      <w:rFonts w:ascii="Times New Roman" w:eastAsia="Times New Roman" w:hAnsi="Times New Roman" w:cs="Times New Roman"/>
      <w:b/>
      <w:spacing w:val="98"/>
      <w:sz w:val="28"/>
      <w:szCs w:val="20"/>
      <w:lang w:val="ru-RU" w:eastAsia="ru-RU"/>
    </w:rPr>
  </w:style>
  <w:style w:type="numbering" w:customStyle="1" w:styleId="1">
    <w:name w:val="Нет списка1"/>
    <w:next w:val="a2"/>
    <w:semiHidden/>
    <w:rsid w:val="00457E6B"/>
  </w:style>
  <w:style w:type="paragraph" w:customStyle="1" w:styleId="Iacaaiea">
    <w:name w:val="Iacaaiea"/>
    <w:basedOn w:val="a"/>
    <w:rsid w:val="00457E6B"/>
    <w:pPr>
      <w:spacing w:after="0" w:line="240" w:lineRule="auto"/>
      <w:jc w:val="center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customStyle="1" w:styleId="a5">
    <w:name w:val="Знак Знак"/>
    <w:basedOn w:val="a"/>
    <w:rsid w:val="00457E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rsid w:val="00457E6B"/>
    <w:rPr>
      <w:color w:val="0000FF"/>
      <w:u w:val="single"/>
    </w:rPr>
  </w:style>
  <w:style w:type="paragraph" w:customStyle="1" w:styleId="a7">
    <w:name w:val="Знак Знак Знак Знак"/>
    <w:basedOn w:val="a"/>
    <w:rsid w:val="00457E6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">
    <w:name w:val="Сетка таблицы1"/>
    <w:basedOn w:val="a1"/>
    <w:next w:val="a3"/>
    <w:rsid w:val="00457E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rsid w:val="00457E6B"/>
    <w:rPr>
      <w:sz w:val="27"/>
      <w:szCs w:val="27"/>
      <w:shd w:val="clear" w:color="auto" w:fill="FFFFFF"/>
    </w:rPr>
  </w:style>
  <w:style w:type="paragraph" w:styleId="a9">
    <w:name w:val="Body Text"/>
    <w:basedOn w:val="a"/>
    <w:link w:val="a8"/>
    <w:rsid w:val="00457E6B"/>
    <w:pPr>
      <w:shd w:val="clear" w:color="auto" w:fill="FFFFFF"/>
      <w:spacing w:before="120" w:after="360" w:line="240" w:lineRule="atLeas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457E6B"/>
  </w:style>
  <w:style w:type="paragraph" w:customStyle="1" w:styleId="21">
    <w:name w:val="Основной текст с отступом 21"/>
    <w:basedOn w:val="a"/>
    <w:rsid w:val="00457E6B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Strong"/>
    <w:qFormat/>
    <w:rsid w:val="00457E6B"/>
    <w:rPr>
      <w:b/>
      <w:bCs/>
    </w:rPr>
  </w:style>
  <w:style w:type="paragraph" w:styleId="ab">
    <w:name w:val="Body Text Indent"/>
    <w:basedOn w:val="a"/>
    <w:link w:val="ac"/>
    <w:rsid w:val="00457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c">
    <w:name w:val="Основной текст с отступом Знак"/>
    <w:basedOn w:val="a0"/>
    <w:link w:val="ab"/>
    <w:rsid w:val="00457E6B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45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7E6B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d">
    <w:name w:val="Normal (Web)"/>
    <w:basedOn w:val="a"/>
    <w:rsid w:val="00457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57E6B"/>
  </w:style>
  <w:style w:type="paragraph" w:customStyle="1" w:styleId="bodybody">
    <w:name w:val="bodybody"/>
    <w:basedOn w:val="a"/>
    <w:rsid w:val="00457E6B"/>
    <w:pPr>
      <w:spacing w:after="0" w:line="270" w:lineRule="atLeast"/>
      <w:jc w:val="both"/>
    </w:pPr>
    <w:rPr>
      <w:rFonts w:ascii="Times New Roman" w:eastAsia="Times New Roman" w:hAnsi="Times New Roman" w:cs="Times New Roman"/>
      <w:sz w:val="21"/>
      <w:szCs w:val="21"/>
      <w:lang w:val="ru-RU" w:eastAsia="ru-RU"/>
    </w:rPr>
  </w:style>
  <w:style w:type="character" w:customStyle="1" w:styleId="st42">
    <w:name w:val="st42"/>
    <w:rsid w:val="00457E6B"/>
    <w:rPr>
      <w:rFonts w:ascii="Times New Roman" w:hAnsi="Times New Roman"/>
      <w:color w:val="000000"/>
    </w:rPr>
  </w:style>
  <w:style w:type="paragraph" w:styleId="22">
    <w:name w:val="Body Text Indent 2"/>
    <w:basedOn w:val="a"/>
    <w:link w:val="23"/>
    <w:rsid w:val="00457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457E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457E6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457E6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457E6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57E6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</cp:lastModifiedBy>
  <cp:revision>6</cp:revision>
  <dcterms:created xsi:type="dcterms:W3CDTF">2017-12-19T15:03:00Z</dcterms:created>
  <dcterms:modified xsi:type="dcterms:W3CDTF">2021-12-03T09:20:00Z</dcterms:modified>
</cp:coreProperties>
</file>